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GS-6a</w:t>
      </w:r>
    </w:p>
    <w:p>
      <w:pPr>
        <w:spacing w:after="120"/>
      </w:pPr>
      <w:r>
        <w:rPr>
          <w:rFonts w:ascii="Calibri" w:cs="Calibri" w:eastAsia="Calibri" w:hAnsi="Calibri"/>
          <w:b/>
          <w:bCs/>
          <w:color w:val="1F3864"/>
          <w:sz w:val="52"/>
          <w:szCs w:val="52"/>
        </w:rPr>
        <w:t xml:space="preserve">Data Breach — Healthcare</w:t>
      </w:r>
    </w:p>
    <w:p>
      <w:pPr>
        <w:spacing w:after="100"/>
      </w:pPr>
      <w:r>
        <w:rPr>
          <w:rFonts w:ascii="Calibri" w:cs="Calibri" w:eastAsia="Calibri" w:hAnsi="Calibri"/>
          <w:color w:val="595959"/>
          <w:sz w:val="24"/>
          <w:szCs w:val="24"/>
        </w:rPr>
        <w:t xml:space="preserve">PHI Exposure and HIPAA Breach Notification — Business Response Focus</w:t>
      </w:r>
    </w:p>
    <w:p>
      <w:pPr>
        <w:pBdr>
          <w:bottom w:val="single" w:color="2E74B5" w:sz="8" w:space="6"/>
        </w:pBdr>
        <w:spacing w:after="80"/>
      </w:pPr>
      <w:r>
        <w:rPr>
          <w:rFonts w:ascii="Calibri" w:cs="Calibri" w:eastAsia="Calibri" w:hAnsi="Calibri"/>
          <w:color w:val="595959"/>
          <w:sz w:val="20"/>
          <w:szCs w:val="20"/>
        </w:rPr>
        <w:t xml:space="preserve">Industry: Healthcare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Breach with Regulatory Notification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Decision-making, communication, and coordination under a regulatory clock — breach scope determination, notification execution, and patient trust, not technical forensics.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focus</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Healthcare: PHI exposure, HIPAA breach notification (60-day clock), HHS/OCR reporting, patient communication, investigation coordination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Practice Administrator, Privacy Officer, Clinical Director, IT, Billing, Office Manager, Legal/Outside Counsel</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Breach scope determination, HIPAA notification execution, patient communication, media response, breach documentation</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healthcare type] with [CUSTOMIZE: number] patients. A routine audit of system access logs reveals that a former employee’s credentials were used to access the EHR system [CUSTOMIZE: 3 weeks / 6 weeks] after their termination date. The access occurred over multiple sessions spanning [CUSTOMIZE: 2–4 weeks] and included downloads of patient records.</w:t>
      </w:r>
    </w:p>
    <w:p>
      <w:pPr>
        <w:spacing w:after="120" w:before="0" w:line="276"/>
      </w:pPr>
      <w:r>
        <w:rPr>
          <w:rFonts w:ascii="Calibri" w:cs="Calibri" w:eastAsia="Calibri" w:hAnsi="Calibri"/>
          <w:color w:val="404040"/>
          <w:sz w:val="21"/>
          <w:szCs w:val="21"/>
        </w:rPr>
        <w:t xml:space="preserve">The former employee was [CUSTOMIZE: a medical assistant / billing specialist / IT contractor] whose access was supposed to be revoked upon termination. An investigation reveals that the termination checklist was completed but the IT access revocation step was missed.</w:t>
      </w:r>
    </w:p>
    <w:p>
      <w:pPr>
        <w:pStyle w:val="Heading2"/>
        <w:keepNext/>
        <w:spacing w:after="110" w:before="240"/>
      </w:pPr>
      <w:r>
        <w:rPr>
          <w:rFonts w:ascii="Calibri" w:cs="Calibri" w:eastAsia="Calibri" w:hAnsi="Calibri"/>
          <w:b/>
          <w:bCs/>
          <w:color w:val="2E74B5"/>
          <w:sz w:val="25"/>
          <w:szCs w:val="25"/>
        </w:rPr>
        <w:t xml:space="preserve">Module 1: Discovery and Scope Assessment (25–30 minutes)</w:t>
      </w:r>
    </w:p>
    <w:p>
      <w:pPr>
        <w:spacing w:after="120" w:before="0" w:line="276"/>
      </w:pPr>
      <w:r>
        <w:rPr>
          <w:rFonts w:ascii="Calibri" w:cs="Calibri" w:eastAsia="Calibri" w:hAnsi="Calibri"/>
          <w:color w:val="404040"/>
          <w:sz w:val="21"/>
          <w:szCs w:val="21"/>
        </w:rPr>
        <w:t xml:space="preserve">A routine audit has surfaced something no one wanted to find: a former employee’s credentials were used to access patient records for weeks after termination. Module 1 establishes what happened, whose process failed, and what the discovery means under HIPAA.</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A terminated employee accessed patient records for weeks after leaving. How did this happen? Whose responsibility was it?</w:t>
      </w:r>
    </w:p>
    <w:p>
      <w:pPr>
        <w:pStyle w:val="ListParagraph"/>
        <w:numPr>
          <w:ilvl w:val="0"/>
          <w:numId w:val="2"/>
        </w:numPr>
        <w:spacing w:after="80" w:line="276"/>
      </w:pPr>
      <w:r>
        <w:rPr>
          <w:rFonts w:ascii="Calibri" w:cs="Calibri" w:eastAsia="Calibri" w:hAnsi="Calibri"/>
          <w:color w:val="404040"/>
          <w:sz w:val="21"/>
          <w:szCs w:val="21"/>
        </w:rPr>
        <w:t xml:space="preserve">The privacy officer says this is likely a notifiable breach. Do you agree? What would change that assessment?</w:t>
      </w:r>
    </w:p>
    <w:p>
      <w:pPr>
        <w:pStyle w:val="ListParagraph"/>
        <w:numPr>
          <w:ilvl w:val="0"/>
          <w:numId w:val="2"/>
        </w:numPr>
        <w:spacing w:after="80" w:line="276"/>
      </w:pPr>
      <w:r>
        <w:rPr>
          <w:rFonts w:ascii="Calibri" w:cs="Calibri" w:eastAsia="Calibri" w:hAnsi="Calibri"/>
          <w:color w:val="404040"/>
          <w:sz w:val="21"/>
          <w:szCs w:val="21"/>
        </w:rPr>
        <w:t xml:space="preserve">The 60-day HIPAA notification clock has started. What needs to happen in the next 60 days?</w:t>
      </w:r>
    </w:p>
    <w:p>
      <w:pPr>
        <w:pStyle w:val="ListParagraph"/>
        <w:numPr>
          <w:ilvl w:val="0"/>
          <w:numId w:val="2"/>
        </w:numPr>
        <w:spacing w:after="80" w:line="276"/>
      </w:pPr>
      <w:r>
        <w:rPr>
          <w:rFonts w:ascii="Calibri" w:cs="Calibri" w:eastAsia="Calibri" w:hAnsi="Calibri"/>
          <w:color w:val="404040"/>
          <w:sz w:val="21"/>
          <w:szCs w:val="21"/>
        </w:rPr>
        <w:t xml:space="preserve">Do you know the former employee’s motive? Does it matter for the notification decision?</w:t>
      </w:r>
    </w:p>
    <w:p>
      <w:pPr>
        <w:pStyle w:val="ListParagraph"/>
        <w:numPr>
          <w:ilvl w:val="0"/>
          <w:numId w:val="2"/>
        </w:numPr>
        <w:spacing w:after="80" w:line="276"/>
      </w:pPr>
      <w:r>
        <w:rPr>
          <w:rFonts w:ascii="Calibri" w:cs="Calibri" w:eastAsia="Calibri" w:hAnsi="Calibri"/>
          <w:color w:val="404040"/>
          <w:sz w:val="21"/>
          <w:szCs w:val="21"/>
        </w:rPr>
        <w:t xml:space="preserve">Who else had access that should have been revoked? Is this an isolated incident or a systemic problem?</w:t>
      </w:r>
    </w:p>
    <w:p>
      <w:pPr>
        <w:pStyle w:val="Heading2"/>
        <w:keepNext/>
        <w:spacing w:after="110" w:before="240"/>
      </w:pPr>
      <w:r>
        <w:rPr>
          <w:rFonts w:ascii="Calibri" w:cs="Calibri" w:eastAsia="Calibri" w:hAnsi="Calibri"/>
          <w:b/>
          <w:bCs/>
          <w:color w:val="2E74B5"/>
          <w:sz w:val="25"/>
          <w:szCs w:val="25"/>
        </w:rPr>
        <w:t xml:space="preserve">Module 2: Investigation and Response (25–30 minutes)</w:t>
      </w:r>
    </w:p>
    <w:p>
      <w:pPr>
        <w:spacing w:after="120" w:before="0" w:line="276"/>
      </w:pPr>
      <w:r>
        <w:rPr>
          <w:rFonts w:ascii="Calibri" w:cs="Calibri" w:eastAsia="Calibri" w:hAnsi="Calibri"/>
          <w:color w:val="404040"/>
          <w:sz w:val="21"/>
          <w:szCs w:val="21"/>
        </w:rPr>
        <w:t xml:space="preserve">The breach is confirmed and the scope is growing. Module 2 tests whether the organization can run an investigation, make the law-enforcement decision, and plan a patient notification campaign — all while the 60-day clock runs.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Law enforcement involvement: what are the pros and cons? Who makes this decision?</w:t>
      </w:r>
    </w:p>
    <w:p>
      <w:pPr>
        <w:pStyle w:val="ListParagraph"/>
        <w:numPr>
          <w:ilvl w:val="0"/>
          <w:numId w:val="2"/>
        </w:numPr>
        <w:spacing w:after="80" w:line="276"/>
      </w:pPr>
      <w:r>
        <w:rPr>
          <w:rFonts w:ascii="Calibri" w:cs="Calibri" w:eastAsia="Calibri" w:hAnsi="Calibri"/>
          <w:color w:val="404040"/>
          <w:sz w:val="21"/>
          <w:szCs w:val="21"/>
        </w:rPr>
        <w:t xml:space="preserve">The scope grew significantly. What does your investigation process look like to determine the final scope?</w:t>
      </w:r>
    </w:p>
    <w:p>
      <w:pPr>
        <w:pStyle w:val="ListParagraph"/>
        <w:numPr>
          <w:ilvl w:val="0"/>
          <w:numId w:val="2"/>
        </w:numPr>
        <w:spacing w:after="80" w:line="276"/>
      </w:pPr>
      <w:r>
        <w:rPr>
          <w:rFonts w:ascii="Calibri" w:cs="Calibri" w:eastAsia="Calibri" w:hAnsi="Calibri"/>
          <w:color w:val="404040"/>
          <w:sz w:val="21"/>
          <w:szCs w:val="21"/>
        </w:rPr>
        <w:t xml:space="preserve">You need to notify potentially [number] patients. Do you have the resources, addresses, and systems to execute this? How long will it take?</w:t>
      </w:r>
    </w:p>
    <w:p>
      <w:pPr>
        <w:pStyle w:val="ListParagraph"/>
        <w:numPr>
          <w:ilvl w:val="0"/>
          <w:numId w:val="2"/>
        </w:numPr>
        <w:spacing w:after="80" w:line="276"/>
      </w:pPr>
      <w:r>
        <w:rPr>
          <w:rFonts w:ascii="Calibri" w:cs="Calibri" w:eastAsia="Calibri" w:hAnsi="Calibri"/>
          <w:color w:val="404040"/>
          <w:sz w:val="21"/>
          <w:szCs w:val="21"/>
        </w:rPr>
        <w:t xml:space="preserve">What do you tell patients who call after receiving the notification letter? What training does your staff need?</w:t>
      </w:r>
    </w:p>
    <w:p>
      <w:pPr>
        <w:pStyle w:val="ListParagraph"/>
        <w:numPr>
          <w:ilvl w:val="0"/>
          <w:numId w:val="2"/>
        </w:numPr>
        <w:spacing w:after="80" w:line="276"/>
      </w:pPr>
      <w:r>
        <w:rPr>
          <w:rFonts w:ascii="Calibri" w:cs="Calibri" w:eastAsia="Calibri" w:hAnsi="Calibri"/>
          <w:color w:val="404040"/>
          <w:sz w:val="21"/>
          <w:szCs w:val="21"/>
        </w:rPr>
        <w:t xml:space="preserve">Who owns the notification project end to end — drafting, mailing, call handling, documentation — and what does it displace?</w:t>
      </w:r>
    </w:p>
    <w:p>
      <w:pPr>
        <w:pStyle w:val="Heading2"/>
        <w:keepNext/>
        <w:spacing w:after="110" w:before="240"/>
      </w:pPr>
      <w:r>
        <w:rPr>
          <w:rFonts w:ascii="Calibri" w:cs="Calibri" w:eastAsia="Calibri" w:hAnsi="Calibri"/>
          <w:b/>
          <w:bCs/>
          <w:color w:val="2E74B5"/>
          <w:sz w:val="25"/>
          <w:szCs w:val="25"/>
        </w:rPr>
        <w:t xml:space="preserve">Module 3: Remediation and System Fixes (20–25 minutes)</w:t>
      </w:r>
    </w:p>
    <w:p>
      <w:pPr>
        <w:spacing w:after="120" w:before="0" w:line="276"/>
      </w:pPr>
      <w:r>
        <w:rPr>
          <w:rFonts w:ascii="Calibri" w:cs="Calibri" w:eastAsia="Calibri" w:hAnsi="Calibri"/>
          <w:color w:val="404040"/>
          <w:sz w:val="21"/>
          <w:szCs w:val="21"/>
        </w:rPr>
        <w:t xml:space="preserve">The root cause is a missed checklist step, not a sophisticated attack. Module 3 tests whether remediation targets the system rather than the person — and whether leadership can answer for the compliance posture that allowed it.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The root cause is a process failure, not a technical failure. How does that change your remediation approach?</w:t>
      </w:r>
    </w:p>
    <w:p>
      <w:pPr>
        <w:pStyle w:val="ListParagraph"/>
        <w:numPr>
          <w:ilvl w:val="0"/>
          <w:numId w:val="2"/>
        </w:numPr>
        <w:spacing w:after="80" w:line="276"/>
      </w:pPr>
      <w:r>
        <w:rPr>
          <w:rFonts w:ascii="Calibri" w:cs="Calibri" w:eastAsia="Calibri" w:hAnsi="Calibri"/>
          <w:color w:val="404040"/>
          <w:sz w:val="21"/>
          <w:szCs w:val="21"/>
        </w:rPr>
        <w:t xml:space="preserve">How many former employees might still have active credentials? How quickly can you find out?</w:t>
      </w:r>
    </w:p>
    <w:p>
      <w:pPr>
        <w:pStyle w:val="ListParagraph"/>
        <w:numPr>
          <w:ilvl w:val="0"/>
          <w:numId w:val="2"/>
        </w:numPr>
        <w:spacing w:after="80" w:line="276"/>
      </w:pPr>
      <w:r>
        <w:rPr>
          <w:rFonts w:ascii="Calibri" w:cs="Calibri" w:eastAsia="Calibri" w:hAnsi="Calibri"/>
          <w:color w:val="404040"/>
          <w:sz w:val="21"/>
          <w:szCs w:val="21"/>
        </w:rPr>
        <w:t xml:space="preserve">What systemic changes would prevent this: automated deprovisioning, regular access audits, segregation of duties?</w:t>
      </w:r>
    </w:p>
    <w:p>
      <w:pPr>
        <w:pStyle w:val="ListParagraph"/>
        <w:numPr>
          <w:ilvl w:val="0"/>
          <w:numId w:val="2"/>
        </w:numPr>
        <w:spacing w:after="80" w:line="276"/>
      </w:pPr>
      <w:r>
        <w:rPr>
          <w:rFonts w:ascii="Calibri" w:cs="Calibri" w:eastAsia="Calibri" w:hAnsi="Calibri"/>
          <w:color w:val="404040"/>
          <w:sz w:val="21"/>
          <w:szCs w:val="21"/>
        </w:rPr>
        <w:t xml:space="preserve">What other HIPAA gaps might exist that you haven’t tested? How would you find them before they become the next breach?</w:t>
      </w:r>
    </w:p>
    <w:p>
      <w:pPr>
        <w:pStyle w:val="ListParagraph"/>
        <w:numPr>
          <w:ilvl w:val="0"/>
          <w:numId w:val="2"/>
        </w:numPr>
        <w:spacing w:after="80" w:line="276"/>
      </w:pPr>
      <w:r>
        <w:rPr>
          <w:rFonts w:ascii="Calibri" w:cs="Calibri" w:eastAsia="Calibri" w:hAnsi="Calibri"/>
          <w:color w:val="404040"/>
          <w:sz w:val="21"/>
          <w:szCs w:val="21"/>
        </w:rPr>
        <w:t xml:space="preserve">What will you tell patients, staff, and regulators has changed — and how will you prove it six months from now?</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spacing w:after="120" w:before="0" w:line="276"/>
      </w:pPr>
      <w:r>
        <w:rPr>
          <w:rFonts w:ascii="Calibri" w:cs="Calibri" w:eastAsia="Calibri" w:hAnsi="Calibri"/>
          <w:color w:val="404040"/>
          <w:sz w:val="21"/>
          <w:szCs w:val="21"/>
        </w:rPr>
        <w:t xml:space="preserve">Deliver injects at the indicated times, verbally or as printed artifacts. Timings assume a 2.5-hour delivery; compress or extend to fit the agreed schedule.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Unauthorized Access Confirmed</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IT team confirms: the former employee’s credentials accessed [CUSTOMIZE: number] patient records over [CUSTOMIZE: number] sessions. The records accessed include patient names, dates of birth, Social Security numbers, diagnoses, and insurance information. The access pattern suggests targeted searches rather than bulk download. The former employee’s last access was [CUSTOMIZE: 3 days ago / 2 weeks ago]. The IT lead hands you an excerpt from the access audit: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EHR Access Log Review — Excerpt</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SYSTEM: [CUSTOMIZE: EHR platform] — ACCESS AUDIT EXPORT</w:t>
            </w:r>
          </w:p>
          <w:p>
            <w:pPr>
              <w:spacing w:after="60"/>
            </w:pPr>
            <w:r>
              <w:rPr>
                <w:rFonts w:ascii="Consolas" w:cs="Consolas" w:eastAsia="Consolas" w:hAnsi="Consolas"/>
                <w:color w:val="404040"/>
                <w:sz w:val="19"/>
                <w:szCs w:val="19"/>
              </w:rPr>
              <w:t xml:space="preserve">ACCOUNT: [CUSTOMIZE: former employee username]  (status: ACTIVE — termination date [CUSTOMIZE: date])</w:t>
            </w:r>
          </w:p>
          <w:p>
            <w:pPr>
              <w:spacing w:after="60"/>
            </w:pPr>
            <w:r>
              <w:rPr>
                <w:rFonts w:ascii="Consolas" w:cs="Consolas" w:eastAsia="Consolas" w:hAnsi="Consolas"/>
                <w:color w:val="404040"/>
                <w:sz w:val="19"/>
                <w:szCs w:val="19"/>
              </w:rPr>
              <w:t xml:space="preserve">REVIEW PERIOD: [CUSTOMIZE: date range]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Session 01 — [CUSTOMIZE: date], 21:47–22:31 — 62 records viewed — search: patient last names A–C</w:t>
            </w:r>
          </w:p>
          <w:p>
            <w:pPr>
              <w:spacing w:after="60"/>
            </w:pPr>
            <w:r>
              <w:rPr>
                <w:rFonts w:ascii="Consolas" w:cs="Consolas" w:eastAsia="Consolas" w:hAnsi="Consolas"/>
                <w:color w:val="404040"/>
                <w:sz w:val="19"/>
                <w:szCs w:val="19"/>
              </w:rPr>
              <w:t xml:space="preserve">Session 02 — [CUSTOMIZE: date], 22:02–23:14 — 118 records viewed — search: insurance ID + date of birth</w:t>
            </w:r>
          </w:p>
          <w:p>
            <w:pPr>
              <w:spacing w:after="60"/>
            </w:pPr>
            <w:r>
              <w:rPr>
                <w:rFonts w:ascii="Consolas" w:cs="Consolas" w:eastAsia="Consolas" w:hAnsi="Consolas"/>
                <w:color w:val="404040"/>
                <w:sz w:val="19"/>
                <w:szCs w:val="19"/>
              </w:rPr>
              <w:t xml:space="preserve">Session 03 — [CUSTOMIZE: date], 20:55–21:40 — 74 records viewed — 41 records exported to PDF</w:t>
            </w:r>
          </w:p>
          <w:p>
            <w:pPr>
              <w:spacing w:after="60"/>
            </w:pPr>
            <w:r>
              <w:rPr>
                <w:rFonts w:ascii="Consolas" w:cs="Consolas" w:eastAsia="Consolas" w:hAnsi="Consolas"/>
                <w:color w:val="404040"/>
                <w:sz w:val="19"/>
                <w:szCs w:val="19"/>
              </w:rPr>
              <w:t xml:space="preserve">Session 04 — [CUSTOMIZE: date], 23:08–23:59 — 96 records viewed — 58 records exported to PDF</w:t>
            </w:r>
          </w:p>
          <w:p>
            <w:pPr>
              <w:spacing w:after="60"/>
            </w:pPr>
            <w:r>
              <w:rPr>
                <w:rFonts w:ascii="Consolas" w:cs="Consolas" w:eastAsia="Consolas" w:hAnsi="Consolas"/>
                <w:color w:val="404040"/>
                <w:sz w:val="19"/>
                <w:szCs w:val="19"/>
              </w:rPr>
              <w:t xml:space="preserve">[CUSTOMIZE: additional sessions — align total sessions and record counts with Inject 1]</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NOTE: All sessions originated from an external IP address. Export function logged but not blocked.</w:t>
            </w:r>
          </w:p>
          <w:p>
            <w:pPr>
              <w:spacing w:after="60"/>
            </w:pPr>
            <w:r>
              <w:rPr>
                <w:rFonts w:ascii="Consolas" w:cs="Consolas" w:eastAsia="Consolas" w:hAnsi="Consolas"/>
                <w:color w:val="404040"/>
                <w:sz w:val="19"/>
                <w:szCs w:val="19"/>
              </w:rPr>
              <w:t xml:space="preserve">FLAG: No deprovisioning ticket found for this account in the IT queue for the period reviewed.</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The Termination Gap</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HR pulls the former employee’s termination file. The termination checklist shows all items marked complete, including “IT Access Revoked.” However, the IT team confirms no revocation ticket was ever created. The person who completed the checklist says: “I assumed IT would handle it automatically when I notified them of the termination. I didn’t verify.”</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HIPAA Breach Analysis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privacy officer asks: “Under HIPAA, unauthorized access to PHI is presumed to be a breach unless we can demonstrate a low probability that the PHI has been compromised. I need to conduct a four-factor risk assessment: nature and extent of PHI involved, who accessed it, whether PHI was actually acquired or viewed, and the extent to which the risk has been mitigated. Based on what we know, this is almost certainly a notifiable breach. The 60-day clock starts from the date we discovered the unauthorized access.”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the room treats the missed checklist step as an individual’s failure or a system failure; whether anyone can say who owns the 60-day clock from this moment; how participants handle the four-factor risk assessment — the struggle to apply it is itself the finding. If no one can say how many other former employees still have active credentials, document that uncertainty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Investigation Complications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Attempting to contact the former employee produces no response. Your legal counsel advises: “We should involve law enforcement if we believe the data may be used for identity theft or fraud. However, involving law enforcement may delay our notification timeline, and HIPAA does allow for a law enforcement delay if documented. We need to decide: do we involve the police?”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Scope Grows</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IT team’s deeper investigation reveals that the former employee’s credentials also had access to [CUSTOMIZE: the billing system / the insurance claims database / a shared drive with scanned documents]. The number of potentially affected records increases from [initial number] to [CUSTOMIZE: larger number]. The privacy officer says: “If we’re above 500 affected individuals, we trigger the HHS/OCR notification requirement and the media notification requirement.”</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Patient Notification Planning</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legal counsel provides a draft notification letter framework: “We need to notify each affected patient in writing. The letter must describe the breach, the types of information involved, steps patients should take to protect themselves, what we are doing in response, and a contact number for questions. We should also offer credit monitoring. I estimate the notification and credit monitoring will cost $[CUSTOMIZE: amount]. Who is drafting these letters? Do we have addresses for all affected patients?”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Draft Patient Notification Letter — Framework</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[PRACTICE LETTERHEAD]</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Dear [Patient Name],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are writing to inform you of an incident involving your personal health information. On [CUSTOMIZE: discovery date], we learned that patient records were accessed without authorization by a former member of our staff between [CUSTOMIZE: date range].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The information involved may have included your name, date of birth, Social Security number, diagnosis information, and insurance information.</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What we are doing: [CUSTOMIZE: containment steps, investigation status, law enforcement status, process changes].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What you can do: We are offering [CUSTOMIZE: 12 / 24] months of complimentary credit monitoring; enrollment instructions are enclosed. We also recommend you review statements from your health insurer and report any services you do not recognize.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For questions, please call [CUSTOMIZE: dedicated call line] between [CUSTOMIZE: hours].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sincerely regret this incident and any concern it may cause you.</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[Name], [Title], [ORGANIZATION NAME]</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whether the law-enforcement decision is reasoned (trade-offs weighed, documented delay provision understood) or reflexive; whether anyone knows the 500-individual threshold and what crossing it triggers; whether notification is treated as a project with an owner, a budget, and a call-handling plan, or as a letter someone will send. Where addresses, resources, or phone scripts don’t exist, document the gap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Root Cause Remediation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root cause is clear: the termination process does not reliably revoke IT access. Your team identifies several additional gaps: [CUSTOMIZE: no regular access review audit, no automated deprovisioning, shared accounts in some systems, no access logging in one system]. The practice administrator asks: “How many other former employees might still have active credentials?” The IT team answers: “I don’t know. We’d have to audit every account against the HR termination list.”</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Board / Leadership Accountability</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[board / managing partner / owner] asks: “This breach was caused by a process failure, not a sophisticated attack. A checkbox was missed. How do we ensure this never happens again? And what does this mean for our compliance posture? Are there other HIPAA gaps we should be worried about?”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remediation aimed at the process — automated deprovisioning, scheduled access audits, verification steps — rather than at the person; a credible answer to “how many other former employees still have credentials?”; whether the compliance-posture question produces named owners and dates. Document every unanswered question and unowned action — missing deprovisioning, absent access reviews, gaps in audit logging, incomplete PHI mapping — as findings for the AAR.</w:t>
            </w:r>
          </w:p>
        </w:tc>
      </w:tr>
    </w:tbl>
    <w:p>
      <w:pPr>
        <w:pStyle w:val="Heading2"/>
        <w:keepNext/>
        <w:spacing w:after="110" w:before="240"/>
      </w:pPr>
      <w:r>
        <w:rPr>
          <w:rFonts w:ascii="Calibri" w:cs="Calibri" w:eastAsia="Calibri" w:hAnsi="Calibri"/>
          <w:b/>
          <w:bCs/>
          <w:color w:val="2E74B5"/>
          <w:sz w:val="25"/>
          <w:szCs w:val="25"/>
        </w:rPr>
        <w:t xml:space="preserve">MSEL Summary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760"/>
        <w:gridCol w:w="900"/>
        <w:gridCol w:w="1060"/>
        <w:gridCol w:w="3140"/>
        <w:gridCol w:w="280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314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Former employee credentials used to access patient records</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Access revocation gap, scope assessment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Termination checklist failure identified</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Process accountability, systemic gap</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HIPAA breach analysis: likely notifiable, 60-day clock</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Regulatory obligations, risk assessment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Law enforcement involvement decision</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Investigation strategy, timeline impact</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Scope expands: more records, more systems</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Scope determination, 500-individual threshold</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Patient notification planning and cost</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Notification execution, resource allocation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Root cause: access management process failure</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Systemic remediation, access audit</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Board accountability and broader HIPAA gap question</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Strategic compliance, security investment</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pStyle w:val="ListParagraph"/>
        <w:numPr>
          <w:ilvl w:val="0"/>
          <w:numId w:val="2"/>
        </w:numPr>
        <w:spacing w:after="80" w:line="276"/>
      </w:pPr>
      <w:r>
        <w:rPr>
          <w:rFonts w:ascii="Calibri" w:cs="Calibri" w:eastAsia="Calibri" w:hAnsi="Calibri"/>
          <w:color w:val="404040"/>
          <w:sz w:val="21"/>
          <w:szCs w:val="21"/>
        </w:rPr>
        <w:t xml:space="preserve">This is a discussion-based business response exercise, not a technical response exercise. The objective is decision-making, communication, and coordination under uncertainty — not root-cause analysis, forensics, or technical troubleshooting.</w:t>
      </w:r>
    </w:p>
    <w:p>
      <w:pPr>
        <w:pStyle w:val="ListParagraph"/>
        <w:numPr>
          <w:ilvl w:val="0"/>
          <w:numId w:val="2"/>
        </w:numPr>
        <w:spacing w:after="80" w:line="276"/>
      </w:pPr>
      <w:r>
        <w:rPr>
          <w:rFonts w:ascii="Calibri" w:cs="Calibri" w:eastAsia="Calibri" w:hAnsi="Calibri"/>
          <w:color w:val="404040"/>
          <w:sz w:val="21"/>
          <w:szCs w:val="21"/>
        </w:rPr>
        <w:t xml:space="preserve">When discussion drifts into technical detail, acknowledge the technical question, then redirect: “Given you don’t have an immediate answer to that technical question, what do you do next?” The exercise tests what the business does while the technical answer is unavailable.</w:t>
      </w:r>
    </w:p>
    <w:p>
      <w:pPr>
        <w:pStyle w:val="ListParagraph"/>
        <w:numPr>
          <w:ilvl w:val="0"/>
          <w:numId w:val="2"/>
        </w:numPr>
        <w:spacing w:after="80" w:line="276"/>
      </w:pPr>
      <w:r>
        <w:rPr>
          <w:rFonts w:ascii="Calibri" w:cs="Calibri" w:eastAsia="Calibri" w:hAnsi="Calibri"/>
          <w:color w:val="404040"/>
          <w:sz w:val="21"/>
          <w:szCs w:val="21"/>
        </w:rPr>
        <w:t xml:space="preserve">Do not supply answers. Where the room cannot answer a question, the gap is the finding — document it for the After-Action Report (AAR) rather than resolving it in the moment.</w:t>
      </w:r>
    </w:p>
    <w:p>
      <w:pPr>
        <w:pStyle w:val="ListParagraph"/>
        <w:numPr>
          <w:ilvl w:val="0"/>
          <w:numId w:val="2"/>
        </w:numPr>
        <w:spacing w:after="80" w:line="276"/>
      </w:pPr>
      <w:r>
        <w:rPr>
          <w:rFonts w:ascii="Calibri" w:cs="Calibri" w:eastAsia="Calibri" w:hAnsi="Calibri"/>
          <w:color w:val="404040"/>
          <w:sz w:val="21"/>
          <w:szCs w:val="21"/>
        </w:rPr>
        <w:t xml:space="preserve">Keep modules to their timebox. Park unresolved threads visibly and return to them in the hot wash if time allows.</w:t>
      </w:r>
    </w:p>
    <w:p>
      <w:pPr>
        <w:pStyle w:val="Heading2"/>
        <w:keepNext/>
        <w:spacing w:after="110" w:before="240"/>
      </w:pPr>
      <w:r>
        <w:rPr>
          <w:rFonts w:ascii="Calibri" w:cs="Calibri" w:eastAsia="Calibri" w:hAnsi="Calibri"/>
          <w:b/>
          <w:bCs/>
          <w:color w:val="2E74B5"/>
          <w:sz w:val="25"/>
          <w:szCs w:val="25"/>
        </w:rPr>
        <w:t xml:space="preserve">Healthcare Data Breach Facilitation Guidance</w:t>
      </w:r>
    </w:p>
    <w:p>
      <w:pPr>
        <w:spacing w:after="120" w:before="0" w:line="276"/>
      </w:pPr>
      <w:r>
        <w:rPr>
          <w:rFonts w:ascii="Calibri" w:cs="Calibri" w:eastAsia="Calibri" w:hAnsi="Calibri"/>
          <w:color w:val="404040"/>
          <w:sz w:val="21"/>
          <w:szCs w:val="21"/>
        </w:rPr>
        <w:t xml:space="preserve">This scenario’s power comes from the root cause: a process failure (missed termination checklist item), not a sophisticated attack. This often surprises participants who expect cyber scenarios to involve hackers. The finding that “our biggest vulnerability was a checkbox we didn’t verify” is frequently the most impactful moment.</w:t>
      </w:r>
    </w:p>
    <w:p>
      <w:pPr>
        <w:spacing w:after="120" w:before="0" w:line="276"/>
      </w:pPr>
      <w:r>
        <w:rPr>
          <w:rFonts w:ascii="Calibri" w:cs="Calibri" w:eastAsia="Calibri" w:hAnsi="Calibri"/>
          <w:color w:val="404040"/>
          <w:sz w:val="21"/>
          <w:szCs w:val="21"/>
        </w:rPr>
        <w:t xml:space="preserve">The HIPAA four-factor risk assessment discussion is critical. Guide participants through each factor: (1) nature and extent of PHI, (2) unauthorized person who accessed it, (3) whether PHI was actually acquired or viewed, (4) extent to which risk has been mitigated. Let participants struggle with the analysis — that struggle is the finding.</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500"/>
        <w:gridCol w:w="5860"/>
      </w:tblGrid>
      <w:tr>
        <w:trPr>
          <w:tblHeader/>
        </w:trPr>
        <w:tc>
          <w:tcPr>
            <w:tcW w:type="dxa" w:w="3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“IT should have caught this”</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termination checklist was marked complete by HR. IT never received a revocation request. Whose process failed?”</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 don’t think they actually looked at the records”</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“Access logs show targeted searches over multiple sessions. Under HIPAA, unauthorized access is presumed to be a breach. Can you demonstrate low probability of compromise?”</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“We’ll just reset the password and move on”</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access occurred over weeks. You have a potential HIPAA breach notification obligation. Resetting the password is containment, not resolution.”</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Don’t know the HIPAA notification thresholds</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“500 individuals is the line between notifying HHS within 60 days and notifying at year-end. It also triggers the media notification requirement.”</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Want to avoid notifying patients</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“HIPAA requires notification unless you can demonstrate low probability of compromise. What happens if OCR finds out you didn’t notify?”</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“This is the former employee’s fault, not ours”</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credentials should have been revoked. They weren’t. HIPAA holds the covered entity responsible for access controls.”</w:t>
            </w:r>
          </w:p>
        </w:tc>
      </w:tr>
    </w:tbl>
    <w:p>
      <w:pPr>
        <w:pStyle w:val="Heading1"/>
        <w:keepNext/>
        <w:spacing w:after="140" w:before="320"/>
      </w:pPr>
      <w:r>
        <w:rPr>
          <w:rFonts w:ascii="Calibri" w:cs="Calibri" w:eastAsia="Calibri" w:hAnsi="Calibri"/>
          <w:b/>
          <w:bCs/>
          <w:color w:val="1F3864"/>
          <w:sz w:val="30"/>
          <w:szCs w:val="30"/>
        </w:rPr>
        <w:t xml:space="preserve">Customization Checklist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practice name from the Client Intake Packet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Healthcare type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Multi-provider outpatient practice</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practice type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Former employee role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Billing specialist</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Most realistic for client’s staffing model</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EHR system</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Cloud-hosted commercial EHR</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platform</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Patient record count affected</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600 initially; grows at Inject 5</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practice size; consider the 500-individual threshold deliberately</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PHI types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Names, dates of birth, SSNs, diagnoses, insurance information</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Actual data elements the practice stores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Access gap duration</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 weeks post-termination</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2–6 weeks post-termination</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Notification cost estimate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 per affected individual</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$5–$20 per affected individual (notification + credit monitoring)</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GS-6a Data Breach — Healthcare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2026-07-14T20:01:40.909Z</dcterms:created>
  <dcterms:modified xsi:type="dcterms:W3CDTF">2026-07-14T20:01:40.910Z</dcterms:modified>
</cp:coreProperties>
</file>

<file path=docProps/custom.xml><?xml version="1.0" encoding="utf-8"?>
<Properties xmlns="http://schemas.openxmlformats.org/officeDocument/2006/custom-properties" xmlns:vt="http://schemas.openxmlformats.org/officeDocument/2006/docPropsVTypes"/>
</file>